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10.10.2019,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23.06.2020, заявление учреждения о взыскании судебных расходов удовлетворено. В кассационной жалобе предприниматель просит об отмене судебных актов, ссылаясь на отсутствие у заявленных расходов признаков судебных.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Перелыгину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