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04.12.2019, оставленным без изменения постановлением Восемнадцатого арбитражного апелляционного суда от 12.02.2020, иск удовлетворен в заявленном размере. Арбитражный суд Уральского округа постановлением от 22.06.2020 отменил решение 04.12.2019 и постановление Восемнадцатого арбитражного апелляционного суда от 12.02.2020 и отказал в удовлетворении иска. В кассационной жалобе предприниматель просит об отмене постановления окружного суда, ссылаясь на противоречие его статье 962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Статья 962 Гражданского кодекса Российской Федерации предусматривает возмещение расходов, понесенных во исполнение указаний страховщика. Окружной суд установил неосновательное признание нижестоящими судами соответствия заявленных расходов названному критерию, поэтому отменил их судебные акты в пределах компетенции, предусмотренной статьями 286 , 287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АО "СОГАЗ" (подробнее) Иные лица: Арбитражный суд Уральского округа (подробнее) Восемнадцатый арбитражный апелляционный суд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