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13.08.2020 (согласно оттиску штампа на почтовом конверте) направило в Верховный Суд Российской Федерации кассационную жалобу на указанные судебные акты и одновременно заявило ходатайство о восстановлении пропущенного срока ее подачи.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2 кассационную жалобу, при условии, что ходатайство подано не позднее шести месяцев со дня вступления в законную силу обжалуемого судебного акта. Принимая во внимание положения части 3 статьи 291.5 Арбитражного процессуального кодекса Российской Федерации, согласно которым возвращение кассационной жалобы не препятствует повторному обращению с кассационной жалобой после устранения обстоятельств, послуживших основанием для ее возвращения, учитывая своевременное направление первоначальной жалобы (17.07.2020), а также оперативное устранение причин, послуживших основанием для возврата первоначально поданной жалобы, в целях обеспечения процессуальных гарантий, вытекающих из права на судебную защиту, включающего и право на обжалование судебных постановлений, ходатайство о восстановлении срока подлежит удовлетворению, пропущенный срок подлежит восстановлению.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«Руслед» о восстановлении пропущенного срока удовлетворить, пропущенный срок на подачу кассационной жалобы восстановить.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