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10.11.2019, оставленным без изменения постановлением Семнадцатого арбитражного апелляционного суда от 14.01.2020, иск удовлетворен. Арбитражный суд Уральского округа постановлением от 02.06.2020 решение от 10.11.2019 и постановление Семнадцатого арбитражного апелляционного суда от 14.01.2020 оставил без изменения. В кассационной жалобе банк просит об отмене судебных актов, ссылаясь на удержание спорной суммы в соответствии с условиями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действия клиента по закрытию счета и даче указания о перечислении остатка денежных средств на другой счет основаны на статье 859 Гражданского кодекса Российской Федерации. Взимание комиссии за подобные стандартные действия банк не обосновал. В указанной ситуации удержанная сумма признана выходящей за пределы договора и обладающей признаками неосновательного обогащения в соответствии со статьей 1102 Гражданского кодекса Российской Федерации правомерно.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ЭЛЬ (подробнее) Ответчики: ПАО Уральский банк реконструкции и развития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