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06.05.2020 направило в Верховный Суд Российской Федерации кассационную жалобу на указанные судебные акты и одновременно заявило ходатайство о восстановлении пропущенного срока. Ходатайство мотивировано тем, что в соответствии с принятыми уполномоченными органами мерами по предотвращению распространения новой коронавирусной инфекции (2019-nCoV) был закрыт офис организации, в связи с чем возникли сложности с подготовкой, подписанием, регистрацией и направлением кассационной жалобы в Верховный Суд Российской Федерации в установленный процессуальный срок.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обществом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Управляющая компания «Делу время»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ООО УК "ДЕЛУ ВРЕМЯ" (подробнее) Ответчики: Государственная жилищная инспекция Ростовской области (подробнее) Судьи дела: Першутов А.Г. (судья) (подробнее) Последние документы по делу: Определение от 26 августа 2020 г. по делу № А53-23045/2019 Определение от 13 мая 2020 г. по делу № А53-23045/2019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