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26.11.2019, оставленным без изменения постановлениями Девятого арбитражного апелляционного суда от 27.02.2020 и Арбитражного суда Московского округа от 10.06.2020,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открытого конкурса в электронной форме на реализацию и проведение форума в Центральном федеральном округе, в связи с чем учреждением (заказчик) в адрес общества направлен проект контракта. Поскольку представленная обществом банковская гарантия не соответствовала требованиям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разделу 4 пункта 30 Информационной карты открытого конкурса в электронной форме,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контракта. По результатам рассмотрения представленных сведений управлением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377 , 431 Гражданского кодекса Российской Федерации, статей 45, 83.2, 96, 104 Закона о контрактной системе,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того, что представленная обществом банковская гарантия является ненадлежащей, и это обстоятельство является поводом для признания лица уклонившимся от заключения контракта и включения сведений о таком лице в реестр недобросовестных поставщиков. Суды установили, что требование, установленное в пункте 13 банковской гарантии, ограничивает ответственность гаранта суммой, на которую выдана гарантия, в связи с чем фактически лишает заказчика права на получение неустойки в случае, если такая неустойка в совокупности с иными выплатами превысит суммы, на которую выдана банковская гарантия.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«ЭКСПОГРАНДСОЮЗ»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"ЭКСПОГРАНДСОЮЗ"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