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25.12.2019, оставленным без изменения постановлением Десятого арбитражного апелляционного суда от 11.02.2020 и постановлением Арбитражного суда Московского округа от 21.05.2020, производство по делу прекращено на основании пункта 2 части 1 статьи 150 Арбитражного процессуального кодекса Российской Федерации. В кассационной жалобе истец просит об отмене судебных актов, ссылаясь на отсутствие тождества оснований ранее рассмотренного и данного дел.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Судом установлено, что ранее по делу № А41-94030/2018 Арбитражного суда Московской области разрешен тождественный спор. Довод заявителя о нетождественности оснований исков является ошибочным, учитывая совпадение фактических обстоятельств, положенных в основу исков. Таким образом, настоящее дело прекращено по законному основанию.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«Кармановский Рыбхоз Москва»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"КАРМАНОВСКИЙ РЫБХОЗ МОСКВА" (подробнее) Ответчики: ООО "Дьяково"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