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Омской области от 13.11.2019, оставленным без изменения постановлением Восьмого арбитражного апелляционного суда от 05.02.2020, иск удовлетворен. Постановлением Арбитражного суда Западно-Сибирского округа от 13.05.2020 указанные судебные акты оставлены без изменения. Ответчик обратился в Верховный Суд Российской Федерации с кассационной жалобой, в которой просит состоявшиеся по делу судебные акты отменить, считая их принятыми с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суды удовлетворили требования, признав доказанным факт выполнения истцом работ по реконструкции автомобильной дороги в спорном объеме без существенных недостатков. Доводы жалобы были предметом исследования судов и получили исчерпывающую правовую оценку исходя из представленных сторонами доказательств и наличия гарантийного обязательства исполнителя,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"ОМСКСТРОЙ - ПЛЮС" (подробнее) Ответчики: МКУ "Управление капитального строительства" (подробнее) Иные лица: Федеральное бюджетное учреждение Омская лаборатория судебной экспертизы Министерства юстиции Российской Федерации (подробнее) Эксперту Федерального бюджетного учреждения Омская лаборатория судебной экспертизы Министерства юстиции Российской Федерации (Цвяк А.Н.)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