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15.07.2019, оставленным без изменения постановлением Девятого арбитражного апелляционного суда от 04.12.2019 и постановлением Арбитражного суда Московского округа от 19.05.2020,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платежными поручениями от 10.02.2017 и от 15.02.2017 перечислило через расчетный счет в Банке «Экономический союз» (АО) (далее - банк), денежные средства в общей сумме 4 137 300 рублей. Приказом Банка России от 13.03.2017 № ОД-628 у банка отозвана лицензия на осуществление банковских операций. Платежные поручения общества приняты банком, однако денежные средства в бюджетную систему не поступили, что послужило основанием для выставления инспекцией требования от 26.05.2017 № 86795 об уплате налога, сбора, страховых взносов, пени, штрафа, процентов и вынесения решения от 11.07.2017 № 31203 на общую сумму 2 046 888 рублей 49 копеек за счет денежных средств на счетах налогоплательщика в банках. Считая обязанность по уплате налогов исполненной, общество обратилось в арбитражный суд. Оценив представленные в материалы дела доказательства, суды, руководствуясь положениями статей 23 , 38 , 44 , 45 , 78 Налогового кодекса Российской Федерации, правовой позицией Конституционного Суда Российской Федерации, изложенной в постановлении от 12.10.1998 № 24-П и определении от 25.07.2001 № 138-О, пришли к выводу об отсутствии правовых оснований для признания обязанности по уплате налога исполненной. Судебные инстанции исходили из того, что общество было осведомлено о наличии у банка финансовых трудностей с перечислением денежных средств клиентов и умышленно совершило недобросовестные действия, направленные на осуществление платежей с преждевременной оплатой. Доводы, изложенные в кассационной жалобе, повторяют позицию общества по спору, являлись предметом рассмотрения судов и получили правовую оценку с учетом установленных обстоятельств дела. Несогласие заявителя с выводами судов, иная оценка фактических обстоятельств дела и иное применение к ним положений закона не означают допущенной при рассмотрении дела судебной ошибки и не подтверждают существенных нарушений судами норм материального и процессуального права, которые могли повлиять на исход дела и являлись бы достаточным основанием для пересмотра судебных актов в кассационном порядке. При таких обстоятельствах, оснований для передачи кассационной жалобы на рассмотрение в судебном заседании Судебной коллегии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«Вымпел-ЭК»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"ВЫМПЕЛ-ЭК" (подробнее) Ответчики: ИФНС России №19 по г.Москве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