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Хакасия от 02.08.2019, оставленным без изменения постановлением Третьего арбитражного апелляционного суда от 21.11.2019 и постановлением Арбитражного суда Восточно-Сибирского округа от 08.06.2020, в удовлетворении заявленного требования отказано. В кассационной жалобе, поданной в Верховный Суд Российской Федерации, общество просит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принятия решения в оспариваемой части (доначисление налога на прибыль, налога на добавленную стоимость, транспортного налога, налога на имущество, земельного налога, соответствующих пени и штрафов) послужил вывод налогового органа об утрате обществом права на применение единого сельскохозяйственного налога в связи с превышением в 2015 году ограничений, установленных для сельскохозяйственных производителей по объему выручки от реализации товаров, не являющихся сельскохозяйственной продукцией. Рассматривая спор, суды, оценив представленные в материалы дела доказательства, руководствуясь положениями статей 146 , 153 , 154 , 167 , 171 , 172 , 173 , 248 , 249 , 251 , 346.4 , 346.5 Налогового кодекса Российской Федерации, и установив, что доля дохода от реализации произведенной сельскохозяйственной продукции в общем доходе от реализации земельных участков составляет 23,8 процента вместо необходимых 70 процентов, пришли к выводу о наличии правовых оснований для расчета налоговых обязательств общества по общей системе налогообложения и признали решение инспекции в оспариваемой части законным. При этом суды отметили, что в проверяемый период на реализованных земельных участках сельскохозяйственная деятельность обществом не осуществлялась, целью их приобретения являлось извлечение прибыли от перепродажи. Таким образом, денежные средства, полученные от реализации земельных участков, обоснованно включены инспекцией в состав общего дохода от реализации товаров (работ, услуг) для расчета доли дохода от реализации произведенной сельскохозяйственной продукции. Расчеты налоговых обязательств судами проверены и признаны верными. Доводы, изложенные в кассационной жалобе, в том числе о нарушении налоговым органом процедуры принятия решения, были предметом рассмотрения судов, получили правовую оценку и с учетом установленных обстоятельств не подтверждают существенных нарушений норм материального и процессуального права, повлиявших на исход дела. Приведенные доводы выражают несогласие с выводами суда по фактическим обстоятельствам настоящего дела, направлены на переоценку доказательств и основаны на ином применении положений законодательства, что не может служить основанием для отмены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«Аршановское»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"Аршановское" (подробнее) Ответчики: Межрайонная инспекция Федеральной налоговой службы №1 по Республике Хакасия (подробнее) Иные лица: АС Республики Хакассия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