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04.10.2019, оставленным без изменения постановлением Седьмого арбитражного апелляционного суда от 03.12.2019 и постановлением Арбитражного суда Западно-Сибирского округа от 10.06.2020, исковое требование департамента удовлетворено частично, с общества в пользу департамента взыскано 700 000 рублей неустойки; в удовлетворении встречного иска отказано. В кассационной жалобе, поданной в Верховный Суд Российской Федерации, общество просить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департаментом (заказчик) и обществом (подрядчик) заключен муниципальный контракт на выполнение проектно-изыскательских работ. В обоснование искового требования департамент ссылается на выполнение обществом работ по второму этапу не в полном объеме и с недостатками, а также невыполнение работ по третьему этапу. Встречное исковое требование мотивировано возникновением на стороне общества убытков, связанных с проведением проверки достоверности определения сметной стоимости объекта, государственной экспертизы проектной документации и результатов инженерных изысканий. Кроме того, общество указывает на неисполнение департаментом обязанности по оплате выполненных по контракту работ в полном объеме и начисленной на сумму задолженности неустойки. Рассматривая спор, суды, оценив представленные в материалы дела доказательства, в том числе условия контракта, переписку сторон по вопросу наличия и устранения замечаний, содержание односторонних актов приемки выполненных работ и мотивы отказа заказчика от их подписания, характер выявленных заказчиком замечаний, руководствуясь положениями статей 15 , 309 , 329 , 330 , 333 , 702 , 708 , 716 , 719 , 759 , 760 , 762 , 763 Гражданского кодекса Российской Федерации, разъяснениями, изложенными в пунктах 77 и 78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обоснованности требований департамента в части взыскания с общества 700 000 рублей неустойки за просрочку выполнения работ и отсутствии оснований для удовлетворения встречного иска. Судебные инстанции указали на обоснованность отказа заказчика от приемки выполненных по второму этапу работ, поскольку они имеют существенные неустраненные подрядчиком недоработки, при этом предусмотренное условиями контракта заключение государственной экспертизы не получено, что свидетельствует о выполнении данных работ не в полном объеме. Ненадлежащее выполнение заказчиком обязательств по контракту, его вина в просрочке исполнения обязательства обществом и факты приостановления работ подрядчиком судами не установлены. Доводы, изложенные в кассационной жалобе, сводятся к повторению позиции общества по спору, были предметом рассмотрения судов и получили правовую оценку с учетом установленных обстоятельств спора, условий муниципального контракта и положений гражданского законодательства. Несогласие общества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Проектно- изыскательский институт транспортного строительства «Желдоризыскания»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"Город Томск" в лице департамента капитального строительства администрации Города Томска (подробнее) Ответчики: ООО Проектно-изыскательский институт транспортного строительства "ЖелДорИзыскания" (подробнее) Судьи дела: Антонова М.К. (судья) (подробнее) Судебная практика по: Упущенная выгода Судебная практика по применению норм ст. 15, 393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