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Панин Максим Викторович и общество обратились в суд с ходатайствами о прекращении производства по настоящему делу. Определением Арбитражного суда Тульской области от 09.12.2019, оставленным без изменения постановлениями Двадцатого арбитражного апелляционного суда от 06.02.2020 и Арбитражного суда Центрального округа от 09.06.2020, в удовлетворении ходатайств отказано. В кассационной жалобе, поданной в Верховный Суд Российской Федерации, заявитель просит отменить указанные судебные акты и прекратить производство по делу.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ходатайств, суд первой инстанции руководствовался статьями 57, 113, 125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признал преждевременным прекращение производства по настоящему делу при наличии заявленных и не рассмотренных требований уполномоченного органа, отсутствии доказательств восстановления платежёспособности должника и способности последнего рассчитаться по всем своим обязательствам с кредиторами.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 Ти»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