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рассматриваемым ими делам либо уменьшить ее размер, а также отсрочить 2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В данном случае такие документы представлены, поэтому имеются основания для предоставления подателю жалобы отсрочки уплаты государственной пошлины. На основании изложенного и руководствуясь статьями 184, 185 Арбитражного процессуального кодекса Российской Федерации, статьями 333.22,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«ИНТЕРСНАБ» отсрочку уплаты государственной пошлины до окончания производства по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