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ФИО3 обратилась в суд с заявлением о признании недействительной сделкой договора продажи автотранспортного средства, заключенного между должником и ФИО4. Определением Арбитражного суда города Москвы от 02.07.2019 заявление оставлено без движения. Определением Арбитражного суда города Москвы от 17.10.2019 продлён срок оставления заявления без движения. Определением Арбитражного суда города Москвы суда от 23.12.2019, оставленным без изменения постановлениями Девятого арбитражного апелляционного суда от 12.05.2020 и Арбитражного суда Московского округа от 26.06.2020, заявление финансового управляющего возвращено. В кассационной жалобе, поданной в Верховный Суд Российской Федерации, заявитель просит отменить указанные судебные акты, направить вопрос на новое рассмотрение в Арбитражный суд города Москвы.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заявление, суд первой инстанции, руководствуясь положениями статей 126 и 129 Арбитражного процессуального кодекса Российской Федерации, установив отсутствие доказательств в обоснование заявленного ходатайства о предоставлении отсрочки, рассрочки, об уменьшении размера государственной пошлины, указал на не устранение финансовым управляющим в установленный срок обстоятельств, послуживших основанием для оставления заявления без движения.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Заявитель не лишён права обратиться в Арбитражный суд Московского округа с заявлением об исправлении опечаток, допущенных, по мнению заявителя, в резолютивной части постановления суда округа. Кроме того, как верно указано судами, возвращение заявления не препятствует повторному обращению с таким же требованием в арбитражный суд в общем порядке после устранения обстоятельств, послуживших основанием для его возвращения.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Союз СРО АУ Стратегия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