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26.11.2019, оставленным без изменения постановлением Девятого арбитражного апелляционного суда от 27.01.2020, в удовлетворении требования отказано. Постановлением Арбитражного суда Московского округа от 29.05.2020 указанные судебные акты оставлены без изменения. Общество в кассационной жалобе просит названные судебные акты отменить, считая их принятыми с существенными нарушениями норм материального и процессуального права. При рассмотрении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послужили выводы административного органа о нарушении обществом требований промышленной безопасности. Частью 1 статьи 9.1 Кодекса Российской Федерации об административных правонарушениях установлена ответственность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объектов. Оценив представленные доказательства, руководствуясь положениями Федерального закона от 21.07.1997 № 116-ФЗ «О промышленной безопасности опасных производственных объектов», Правил организации и осуществлении производственного контроля за соблюдением требований промышленной безопасности на опасном производственном объекте, утвержденных постановлением Правительства Российской Федерации от 10.03.1999 № 263,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сооружения», утвержденных приказом Ростехнадзора от 12.11.2013 № 533, суды пришли к выводу о наличии в действиях общества состава правонарушения, ответственность за совершение которого предусмотрена частью 1 статьи 9.1 Кодекса Российской Федерации об административных правонарушениях. Процедура и срок давности привлечения к ответственности соблюдены, оснований для признания применения положений статьи 2.9 Кодекса Российской Федерации об административных правонарушениях судами не установлено. Доводы жалобы повторяют позицию общества по делу, являлись предметом рассмотрения судов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ГУП ГОРОДА МОСКВЫ "МОСКОВСКИЙ ОРДЕНА ЛЕНИНА И ОРДЕНА ТРУДОВОГО КРАСНОГО ЗНАМЕНИ МЕТРОПОЛИТЕН ИМЕНИ В.И. ЛЕНИНА" (подробнее) Ответчики: Комитет государственного строительного надзора города Москвы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