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21.10.2019, оставленным без изменения постановлением Тринадцатого арбитражного апелляционного суда от 21.01.2020, в удовлетворении заявленного требования отказано. Постановлением Арбитражного суда Северо-Западного округа от 14.05.2020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Налогового кодекса Российской Федерации, Федерального закона от 10.12.2003 № 173-ФЗ «О валютном регулировании и валютном контроле», суды отказали в удовлетворении требования, признав правомерным выводы налогового органа о занижении обществом налоговой базы по налогу на прибыль в связи с неверным учетом сумм курсовых разниц в 2015 и 2016 годах. Доводы жалобы повторяют позицию общества по делу, являлись предметом рассмотрения судов и получили исчерпывающую правовую оценку исходя из соотнесения спорных доходов и расходов с осуществляемым обществом в рамках инвестиционного проекта видом деятельности.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"Промтехнологии" (подробнее) Ответчики: МИФНС России №9 по г. Калининграду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