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Банк «Кредит-Москва» (далее – банк) обратилось в суд с заявлением о включении в реестр требований кредиторов должника долга в размере 40 032 170 рублей 44 копеек, обеспеченной залогом имущества должника. Определением Арбитражного суда города Москвы от 21.11.2019, оставленным без изменения постановлениями Девятого арбитражного апелляционного суда от 17.02.2020 и Арбитражного суда Московского округа от 04.06.2020, требования банка удовлетворены.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137, 142,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абзацем 2 пункта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обоснованности документально подтверждённого требования банка к должнику, восстановив срок на подачу заявления ввиду уважительности причин его пропуска, обусловленной возникновением у банка соответствующего права после признания недействительными его сделок и восстановлением требования последнего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Добровольскому Владимиру Александровичу и финансовому управляющего имуществом Добровольского Владимира Александровича Кручининой Марине Владимировне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