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Нижегородской области от 10.12.2019, оставленным без изменения постановлением Первого арбитражного апелляционного суда от 13.02.2020, в удовлетворении требований отказано. Постановлением Арбитражного суда Волго-Вятского округа от 10.06.2020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общества к ответственности послужили выявленные административным органом нарушения правил предоставления коммунальных услуг, а именно: не произведен перерасчет размера взимаемой платы.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При этом окончание противоправного поведения на момент вынесения постановления о привлечении к ответственности само по себе не свидетельствует об отсутствии состава правонарушения. Срок давности привлечения к ответственности с момента произведенного перерасчета не истек. Доводы жалобы относительно неподтверждения на момент подачи заявления факта временного отсутствия в жилом помещении собственника и членов его семьи были предметом исследования судов и получили исчерпывающую правовую оценку применительно к вмененному правонарушению и представленным доказательствам,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"Стройкомплектсоюз Плюс " (подробнее) Ответчики: Государственная жилищная инспекция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