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27.09.2019, оставленным без изменения постановлением Девятого арбитражного апелляционного суда от 17.12.2019, в удовлетворении иска отказано. Постановлением Арбитражного суда Московского округа от 27.05.2020 указанные судебные акты оставлены без изменения. Истец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иска, признав, что ответчик (заказчик) исполнил обязательства по контракту, оплатив стоимость выполненных работ с учетом предельного увеличения цены контракта. Доводы жалобы со ссылкой на иную судебную практику сами по себе не могут служить основанием для отмены судебных актов по настоящему делу, поскольку не свидетельствуют о неправильном применении норм материального и процессуального права по настоящему делу, в том числе, с учетом условий контракта.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"Почта России" (подробнее) ФГУП "Почта России" (подробнее) Ответчики: Судебный Департамент при Верховном суде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