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Т.И. обратился в суд с заявлением о признании недействительной сделки должника по перечислению Давыденко Вячеславу Викторовичу денежных средств в размере 1 933 697 рублей 34 копеек платёжным поручением от 28.12.2017 № 83001, и о применении последствий недействительности сделки в виде взыскания с Давыденко В.В. денежных средств в указанном размере. Определением Арбитражного суда Новосибирской области от 24.12.2019, оставленным без изменения постановлением Седьмого арбитражного апелляционного суда от 12.03.2020, заявление удовлетворено. Постановлением Арбитражного суда Западно-Сибирского округа от 28.05.2020 вышеуказанные судебные акты отменены, обособленный спор направлен на новое рассмотрение.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состоявшиеся судебные акты и направляя спор на новое рассмотрение, суд округа, руководствуясь положениями пункта 2 статьи 61.4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неполного исследования судами обстоятельств спора, которые могут иметь существенное значение для его разрешения,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Давыденко В.В. о совершении сделки в рамках обычной хозяйственной деятельности и установить наличие или отсутствие недобросовестного поведения Давыденко В.В. при её совершении.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в обжалуемой части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«Компания Холидей» Кузнецову Трофиму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