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26.09.2019, оставленным без изменения постановлением Первого арбитражного апелляционного суда от 10.12.2019, иск удовлетворен. Постановлением Арбитражного суда Волго-Вятского округа от 11.06.2020 указанные судебные акты оставлены без изменения. Ответчик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иск, признав, что в спорный период ответчик пользовался оборудованием в отсутствие встречного исполнения обязательства по оплате. Согласно положениям части 7 статьи 291.6 , части 1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обстоятельств с учетом конкретных фактических обстоятельств спора в кассационной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ПАО ГАЗ (подробнее) Ответчики: ФКУ ИК-20 ГУФСИН России по Нижегородской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