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28.08.2019, оставленным без изменения постановлением Девятого арбитражного апелляционного суда от 18.11.2019 и постановлением Арбитражного суда Московского округа от 14.05.2020,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камеральной налоговой проверки представленной обществом уточненной налоговой декларации по НДС за 2 квартал 2017 года инспекцией принято решение, которым налогоплательщик привлечен к налоговой ответственности в виде штрафа в сумме 73 075 рублей 30 копеек, отказано в возмещении налога на сумму 476 590 рублей, а также начислены пени в сумме 365 377 рублей. Основанием для принятия решения послужил вывод налогового органа о неправомерном применении вычетов по счетам-фактурам, выставленным ОАО «РЖД» на услуги по международной перевозке грузов, облагаемые на основании подпункта 2.1 пункта 1 статьи 164 Налогового кодекса Российской Федерации (далее - Налоговый кодекс) по ставке 0 процентов. Не согласившись с решением инспекции в указанной части, общество обратилось в арбитражный суд. Отказывая в удовлетворении требования, судебные инстанции, оценив представленные в материалы дела доказательства, руководствуясь положениями подпункта 2.1 пункта 1 статьи 164 Налогового кодекса, правовой позицией, изложенной в постановлениях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от 30.05.2014 № 33 «О некоторых вопросах, возникающих у арбитражных судов при рассмотрении дел, связанных с взиманием налога на добавленную стоимость», пришли к выводу, что общество необоснованно включило в состав налоговых вычетов суммы НДС по счетам-фактурам, полученным от контрагентов за оказание транспортно- экспедиторских услуг с применением налоговой ставки 18 процентов. Суды указали, что представленными к проверке документами подтверждается, что услуги, оказанные обществу контрагентами, относятся к международным перевозкам, что влечет за собой применение ставки НДС в размере 0 процентов в соответствии с подпунктом 2.1 пункта 1 статьи 164 Налогового кодекса.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спора. Доводы, изложенные в кассационной жалобе, являлись предметом рассмотрения судов, не свидетельствуют о нарушении судами норм материального и процессуального права, повлиявших на исход дела. Указанные доводы общества основаны на несогласии с выводами судов и неправильном толковании применительно к ним положений законодательства, что не может служить основанием для отмены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«Новая параллель»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"НОВАЯ ПАРАЛЛЕЛЬ" (подробнее) Ответчики: ИФНС №31 России по г.Москве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