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15.11.2019 в удовлетворении иска отказано. Постановлением Семнадцатого арбитражного апелляционного суда от 18.02.2020 решение суда первой инстанции отменено, иск удовлетворен. Постановлением Арбитражного суда Уральского округа от 19.06.2010 постановление суда апелляционной инстанции оставлено без изменения. Ответчик обратился в Верховный Суд Российской Федерации с кассационной жалобой, в которой просит постановления суда апелляционной инстанции и суда округа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Отменяя решение суда первой инстанции и удовлетворяя иск, суд апелляционной инстанции руководствовался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Гражданского кодекса Российской Федерации, и исходил из того, что завершение строительства газопровода не представлялось возможным по не зависящим от истца (подрядчика) причинам, о чем был уведомлен заказчик. Доводы жалобы были предметом исследования судов апелляционной и кассационной инстанций и получили исчерпывающую правовую оценку исходя из наличия обстоятельств, препятствующих выполнению обществом (подрядчиком) работ, при том, что заказчик бездействовал и заявил отказ от контракта.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Мастер (подробнее) Ответчики: Администрация Асбестовского городского округа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