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суд с иском к обществу с ограниченной ответственностью «Аникин и Компания» (далее – должник) о взыскании 1 257 053 рублей 51 копейки задолженности, 39 433 рублей 60 копеек процентов за период с 01.06.2019 по 05.11.2019. Решением Арбитражного суда Томской области от 10.12.2019, оставленным без изменения постановлениями Седьмого арбитражного апелляционного суда от 21.02.2020 и Арбитражного суда Западно-Сибирского округа от 18.05.2020, в удовлетворении исковых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Томской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 первой инстанции, руководствуясь статьями 382 , 387 Гражданского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21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исходил из фактических обстоятельств, обусловленных долгосрочностью взаимоотношений аффилированных друг другу сторон по погашению предпринимателем перед третьими лицами обязательств несостоятельного должника, в отношении которого введены процедуры банкротства, в отсутствие какого-либо встречного предоставления, экономической обоснованности и целесообразности, что очевидно указывало на предоставление последнему финансирования и не соответствовало стандартам обычного поведения субъектов предпринимательской деятельности. С указанными выводами впоследствии согласились суды апелляционной инстанции и округа, мотивированно отклонив возражения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"Аникин и Компания" (подробнее) Иные лица: ФНС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