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Санкт-Петербурга и Ленинградской области от 09.10.2019, оставленным без изменения постановлением Тринадцатого арбитражного апелляционного суда от 12.12.2019, исковые требования удовлетворены. Арбитражный суд Северо-Западного округа постановлением от 14.05.2020 решение от 09.10.2019 и постановление Тринадцатого арбитражного апелляционного суда от 12.12.2019 оставил без изменения. В кассационной жалобе акционерное общество «СИБУР-Транс» просит об отмене судебных актов, ссылаясь на неправомерное начисление платы за предоставление железнодорожных путей общего пользования в перевозочном процессе до истечения последних суток нормативного срока доставки грузов.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опровергается исследованными судом доказательствами нарушения им срока оборота вагонов, повлекшего просрочку доставки грузов (актами общей формы, памятками приемосдатчика). Судебные акты соответствуют договору от 26.10.2016 № 66/16/М, статье 39 Федерального закона от 10.01.2003 № 18-ФЗ «Устав железнодорожного транспорта Российской Федерации» и представленным доказательствам.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«СИБУР-Транс»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АО "СИБУР-Транс" (подробнее) Иные лица: ООО "ПОРТЭНЕРГО" (подробнее) ООО "УК СИБУР-Портэнерго"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