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установлении процентов по вознаграждению в размере 1 144 495 рублей 11 копеек. Определением Арбитражного суда Ростовской области от 09.07.2019, оставленным без изменения постановлениями Пятнадцатого арбитражного апелляционного суда от 28.01.2020 и Арбитражного суда Северо-Кавказского округа от 09.06.2020,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20.6, 138, 142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ввиду фактических обстоятельств, связанных с наличием неисполненных текущих требований и невозможностью их полного погашения имеющимися на счётах должника денежными средствами, пришли к выводам об отсутствии правовых оснований для установления заявителю процентов по вознаграждению.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«Проект-3»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"Стандарт" (подробнее) ООО "ФОНДОВЫЕ ИНВЕСТИЦИИ" (подробнее) Управление Федеральной налоговой службы по Ростовской области (подробнее) Ответчики: К/у Сукочев Андрей Иванович (подробнее) ООО "Проект-3" (подробнее) Иные лица: Ассоциация "Межрегиональная саморегулируемая организация арбитражных управляющих" (подробнее) ООО "Аквамарин"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