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недействительными договоров займа от 07.07.2015, 09.06.2015, 09.06.2015, 09.06.2015, 24.03.2016, заключенных с ФИО1 и ФИО3, применении последствий недействительности сделок. Определением Арбитражного суда Челябинской области от 25.11.2019, оставленным без изменения постановлениями Восемнадцатого арбитражного апелляционного суда от 29.01.2020 и Арбитражного суда Уральского округа от 26.05.2020,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 170 Гражданского кодекса Российской Федерации, статьями 19,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необходимых для признания недействительными оспариваемых сделок по заявленным основаниям: наличие у должника на момент совершения оспариваемых сделок признаков неплатёжеспособности и недостаточности имущества, злоупотребления сторонами своим правом и намерений причинить вред кредиторам, их осведомлённости об этом в силу заинтересованности и очевидной направленности совершаемых действий на докапитализацию должника.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"Аутотек Групп" (подробнее) Ответчики: ООО "СтройГрад" (подробнее) ООО Учредитель "Стройград" Кучерина Игорь Михайлович (подробнее) Иные лица: Арбитражный управляющий, Кафлевский Станислав Сергеевич (подробнее) Ассоциация Ведущих Арбитражных Управляющих "Достояние"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