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«ВладФинанс» (далее – общество) обратилось в суд с заявлением о включении в реестр требований кредиторов должника требования в размере 7 811 135 рублей 97 копеек. Определением Арбитражного суда Новосибирской области от 25.12.2019, оставленным без изменения постановлениями Седьмого арбитражного апелляционного суда от 06.03.2020 и Арбитражного суда Западно-Сибирского округа от 18.06.2020, требование признано обоснованным и подлежащим включению в третью очередь реестра как обеспеченное залогом имущества должника – квартиры, расположенная по адресу: Новосибирская область, Новосибирский район, рабочий посёлок Краснообск, д. 218, кв. 69-70.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реальность отношений, послуживших основанием для обращения общества с заявленными требованиями, соблюдение последним сроков исковой давности, пришли к выводу об обоснованности и подтверждённости требований, признав верным расчёт штрафных санкций, предоставленный обществом, отсутствие доказательств погашения задолженности должником.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Морозову Виктору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