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Ковалев Сергей Александрович обратился в суд с заявлением о взыскании с Братчикова Н.Н. 12 300 000 рублей убытков. Определением Арбитражного суда города Санкт-Петербурга и Ленинградской области от 01.07.2019 в удовлетворении заявления отказано. Постановлением Тринадцатого арбитражного апелляционного суда от 05.11.2019, оставленным без изменения постановлением Арбитражного суда Северо-Западного округа от 16.06.2020, вышеуказанное определение отменено; заявление конкурсного управляющего должником удовлетворено.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направить дело на новое рассмотрение в Арбитражный суд города Санкт-Петербурга и Ленинградской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и повторно разрешая спор, апелляционный суд, руководствуясь статьями 12, 15, 53.1, 167 Гражданского кодекса Российской Федерации, исходил из доказанности конкурсным управляющим совокупности условий, необходимых для взыскания убытков с заявителя, совершившего сделку по отчуждению принадлежащих должнику активов по заниженной цене во вред последнему и его кредиторам, признанной недействительной по иному обособленному спору в настоящем деле, сочтя ошибочными выводы суда первой инстанции о целесообразности предъявления виндикационного иска к добросовестному приобретателю имущества должника.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Несогласие заявителя с данными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Братчикову Николаю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