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26.12.2019, оставленным без изменения постановлением Одиннадцатого арбитражного апелляционного суда от 05.03.2020, в удовлетворении иска отказано. Арбитражный суд Поволжского округа постановлением от 27.05.2020 решение от 26.12.2019 и постановление Одиннадцатого арбитражного апелляционного суда от 05.03.2020 оставил без изменения. В кассационной жалобе общество «Автомобили и СпецТехника» просит об отмене судебных актов, ссылаясь на игнорирование судами преюдициального значения обстоятельств, установленных в рамках дела № А82-8692/2017, и объективной невозможности предъявления иска к продавцу.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во исполнение судебного акта по делу № А82-8692/2017 возместил убытки вследствие ненадлежащего исполнения обязательства, поэтому условия для переложения их в порядке статьи 1081 Гражданского кодекса Российской Федерации отсутствуют,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«Автомобили и СпецТехника»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"Автомобили и СпецТехника", г. Ярославль (подробнее) Ответчики: ПАО "КАМАЗ", г.Набережные Челны (подробнее) Иные лица: 11 ААС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