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11.11.2019 общество привлечено к ответственности по части 2 статьи 14.1 Кодекса Российской Федерации об административных правонарушениях в виде административного штрафа в размере 40 000 рублей. Постановлением Восемнадцатого арбитражного апелляционного суда от 25.12.2019 решение суда первой инстанции отменено, в удовлетворении заявленных требований отказано. Постановлением Арбитражного суда Уральского округа от 10.06.2020 постановление суда апелляционной инстанции отменено, решение суда первой инстанции оставлено в силе. Общество в кассационной жалобе просит отменить постановление суда округа, постановление суда апелляционной инстанции оставить в силе. При изучении доводов жалобы и приложенных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выявленный административным органом факт оказания оказание обществом охранных услуг в отсутствие лицензии. Частью 2 статьи 14.1 Кодекса Российской Федерации об административном правонарушении предусматривает административную ответственность за осуществление предпринимательской деятельности без специального разрешения (лицензии), если такое разрешение (такая лицензия) обязательно (обязательна). Отменяя постановление суда апелляционной инстанции и оставляя решение суда первой инстанции в силе, суд округа руководствовался положениями Федерального закона от 04.05.2011 № 99-ФЗ «О лицензировании отдельных видов деятельности», Законом Российской Федерации от 11.03.1992 № 2487-1 «О частной детективной и охранной деятельности в РФ», и исходил из наличия в действиях общества состава правонарушения, ответственность за совершение которого предусмотрена частью 2 статьи 14.1 Кодекса Российской Федерации об административных правонарушениях, поскольку лицензия на оказание частных охранных услуг отсутствует, специализированной организаций общество не является Вопреки доводам жалобы возможность избежания административной ответственности, предусмотренной частью 2 статьи 14.1 Кодекса Российской Федерации об административных правонарушениях, некоммерческой организации приводит к получению лицом, осуществляющим такую деятельность, необоснованных преимуществ из своего незаконного и недобросовестного поведения. Судом установлено, что процедура и срок давности привлечения к административной ответственности соблюдены. Штраф назначен в минимальном размере санкции нормы. Приведенные в жалобе доводы, идентичные изложенным в обоснование позиции общества при рассмотрении дела, подробно исследованы судами первой и кассационной инстанций и им дана соответствующая правовая оценка,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Росгвардии по Челябинской области (подробнее) Ответчики: ХКО Ленинского района г. Челябинска "Каширинский" (подробнее) Иные лица: Арбитражный суд Уральского округа (подробнее) Судьи дела: Першутов А.Г.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