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13.11.2019 (с учетом определения от 15.11.2019 об исправлении арифметической ошибки), оставленным без изменения постановлением Седьмого арбитражного апелляционного суда от 03.02.2020, первоначальный иск удовлетворен, встречный иск удовлетворен частично в размере 954 117,08 рублей, в результате зачета суд взыскал с управления в пользу общества 153 659,48 рублей неустойки, 20 927,87 рублей в возмещение судебных расходов по оплате государственной пошлины. Постановлением Арбитражного суда Западно-Сибирского округа от 20.05.2020 указанные судебные акты оставлены без изменения. Управление обратилось в Верховный Суд Российской Федерации с кассационной жалобой, в которой просит состоявшиеся по делу судебные акты в части удовлетворения встречного иска отменить, считая их принятыми с нарушением норм материального и процессуального права в указанной части.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первоначальный иск, признав доказанным факт ненадлежащего выполнения обществом (подрядчиком) обязательств по контракту, встречный иск удовлетворен частично, поскольку судами установлено нарушение сроков оплаты выполненных работ, но размер неустойки скорректирован с учетом периода просрочки и примененной ставки рефинансирования. Доводы жалобы со ссылкой на наличие оснований для снижения неустойки, наличие вины общества (подрядчика) в допущенной истцом просрочке оплаты работ, отсутствии финансирования, были предметом исследования судов и получили исчерпывающую правовую оценку,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судебных приставов по Алтайскому краю (подробнее) Ответчики: ООО "Селф"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