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Костромской области от 01.08.2019, оставленным без изменения постановлением Второго арбитражного апелляционного суда от 25.10.2019, иск удовлетворен. Арбитражный суд Волго-Вятского округа постановлением от 23.03.2020 решение от 01.08.2019 и постановление Второго арбитражного апелляционного суда от 25.10.2019 оставил без изменения. В кассационной жалобе общество «РИТММИКС» просит об отмене судебных актов, ссылаясь на отсутствие вины в причинении вреда и неосновательный размер убытков.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Установление вины находится в компетенции суда, рассматривающего дело об убытках, условием взыскания которых в силу статей 15 , 1064 Гражданского кодекса Российской Федерации она является. Вина работника ответчика в причинении вреда установлена судами на основании обстоятельств дорожно-транспортного происшествия и материалов административного дела. Довод о размере убытков, обсужденный судами, не составляет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«РИТММИКС»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Страховое "ВСК" (подробнее) Ответчики: ООО "РИТММИКС" (подробнее) Судьи дела: Ксенофонтова Н.А. (судья) (подробнее) Последние документы по делу: Определение от 17 августа 2020 г. по делу № А31-13940/2018 Определение от 17 июня 2020 г. по делу № А31-13940/2018 Показать все документы по этому делу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