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Новосибирской области от 27.09.2019 иск удовлетворен в заявленном размере. Седьмой арбитражный апелляционный суд постановлением от 20.12.2019 решение от 27.09.2019 отменил и в иске отказал по мотиву непопадания события под договорное определение страхового случая. Арбитражный суд Западно-Сибирского округа постановлением от 08.06.2020 отменил постановление Седьмого арбитражного апелляционного суда от 20.12.2019 и оставил в силе решение от 27.09.2019. В кассационной жалобе акционерное общество «Страховая компания «Пари» просит об отмене постановления окружного суда, ссылаясь на неверное 2 толкование условий договора страхования и неправильное определение размера страхового возмещения.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пункту 1 статьи 929 и подпункту 2 пункта 1 статьи 942 Гражданского кодекса Российской Федерации страховым случаем является такое событие, которое обладает признаками, определенными договором или правилами страхования. Предварительная квалификация следственными органами утраты имущества не исключает применительно к обстоятельствам утраты и условиям страхования признания утраты попадающей под страховую защиту. В соответствии с полисом страхования, выданным на перевозку похищенного имущества, страхование осуществлялось «с ответственностью за все риски», произошедшее событие не исключено из числа страховых случаев, поэтому утрата (хищение) имущества признано судом первой инстанции страховым случаем в соответствии с условиями страхования, статьями 421, 929, 942 Гражданского кодекса Российской Федерации и пунктом 2 статьи 9 Закона Российской Федерации от 27.11.1992 № 4015-1 «Об организации страхового дела в Российской Федерации». В отсутствие у суда апелляционной инстанции оснований для иного вывода его постановление правомерно отменено окружным судом. Страховое возмещение взыскано в пределах страховой суммы.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«Пари»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