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при новом рассмотрении дела решением Арбитражного суда Омской области от 13.09.2019 в удовлетворении иска к акционерному обществу «Омскэнерго» отказано, в отношении общества с ограниченной ответственностью «Управляющая компания «Мой Дом» производство по делу прекращено. Восьмой арбитражный апелляционный суд постановлением от 28.11.2019 отменил решение от 13.09.2019 в отношении акционерного общества «Омскэнерго» и взыскал с него 51 967 рублей 50 копеек убытков. Арбитражный суд Западно-Сибирского округа постановлением от 19.03.2020 постановление Восьмого арбитражного апелляционного суда от 28.11.2019 оставил без изменения. В кассационной жалобе предприниматель просит об отмене судебных актов, считая, что выводы судов о степени вины акционерного общества «Омскэнерго» основаны на ненадлежащих доказательствах.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Степень вины акционерного общества «Омскэнерго» установлена судами по итогу оценки обстоятельств спора и представленных доказательств, одним из которых является акт судебной экспертизы от 25.06.2018 № 340-18. Вопросы доказывания и оценки доказательств, на которых основаны доводы жалобы, не составляют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Фурману С.А.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