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07.06.2019 в удовлетворении иска отказано. Определением Арбитражного суда города Москвы от 04.10.2019 заявление академии о взыскании судебных расходов удовлетворено. Постановлением Девятого арбитражного апелляционного суда от 11.12.2019 и постановлением Арбитражного суда Московского округа от 09.06.2020 решение от 07.06.2019 и определение от 04.10.2019 оставлены без изменения. В кассационной жалобе предприниматель просит об отмене судебных актов, ссылаясь на нарушение норм процессуального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Отказывая в удовлетворении иска, суды учитывали в силу статьи 69 Арбитражного процессуального кодекса Российской Федерации обязательность обстоятельств, установленных вступившим в законную силу судебным актом по другому делу и в соответствии со статьями 382 , 384 Гражданского кодекса Российской Федерации констатировали, что требование по договору возмездного оказания услуг от 19.11.2015 № 975-во/Э93, признанному ничтожным, не могло перейти к истцу по соглашению об уступке права (требования) от 06.04.2017. В отношении судебных расходов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 , 106 , 110 Арбитражного процессуального кодекса Российской Федерации и обстоятельствам рассмотрения дела. Доводы кассационной жалобы не подтверждают нарушения норм права и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Перелыгин Н.М. (подробнее) Федеральное государственное бюджетное образовательное учреждение высшего образования "Всероссийская академия внешней торговли Министерства экономического развития Российской Федерации" (подробнее) Ответчики: ФГБНИУ "Совет по изучению производительных сил" (подробнее) ФЕДЕРАЛЬНОЕ ГОСУДАРСТВЕННОЕ БЮДЖЕТНОЕ НАУЧНО-ИССЛЕДОВАТЕЛЬСКОЕ УЧРЕЖДЕНИЕ "СОВЕТ ПО ИЗУЧЕНИЮ ПРОИЗВОДИТЕЛЬНЫХ СИЛ"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