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02.04.2018, оставленным без изменения постановлением Двадцатого арбитражного апелляционного суда от 02.06.2018, заявленное требование удовлетворено. Постановлением Арбитражного суда Центрального округа от 18.09.2018 указанные судебные акты оставлены без изменения. Общество обратилось в Верховный Суд Российской Федерации с кассационной жалобой, в которой просит обжалуемые судебные акты отменить, считая их незаконными.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приложений к ней,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и установив, что, оспариваемые акты приняты по результатам внеплановой проверки общества, проведенной с грубыми нарушениями требований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отсутствие оснований для проведения внеплановой выездной проверки, суды удовлетворили заявленные требования. При этом суды исходили из того, что при рассмотрении обращения административным органом не были учтены результаты рассмотрения ранее поступившего подобного обращения, а также результаты ранее проведенных мероприятий по контролю в отношении соответствующего юридического лица. Признавая незаконными действия должностных лиц, связанные с отказом обществу в ознакомлении с мотивированным представлением, суды пришли к выводу о том, что оспариваемые действия нарушают основные принципы защиты прав юридических лиц при осуществлении государственного контроля (надзора), муниципального контроля (открытость и доступность информации об организации и о проведении проверок). Приведенные в жалобе доводы, идентичные изложенным в обоснование позиции административного органа при рассмотрении дела, нашли свое отражение в обжалуемых судебных актах.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в силу статьи 291.6 Арбитражного процессуального кодекса Российской Федерации, в жалобе не приведено.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"Оскар" (подробнее) Ответчики: Комитет ветеринарии Тульской области (подробнее) Уполномоченный по защите прав предпринимателей в Тульской области (подробнее) Иные лица: Прокуратура Тульской области (подробнее) Последние документы по делу: Определение от 17 августа 2020 г. по делу № А68-5739/2017 Определение от 25 декабря 2018 г. по делу № А68-5739/2017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