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08.10.2019, оставленным без изменения постановлением Восьмого арбитражного апелляционного суда от 30.12.2019, требования удовлетворены. Постановлением Арбитражного суда Западно-Сибирского округа от 02.06.2020 указанные судебные акты оставлены без изменения. 2 Администрация обратилась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удовлетворили требования, признав доказанным соответствие качества выполненных работ контракту и нормативным документам; причины, послужившие принятию решения об одностороннем отказе от исполнения контракта, не подтверждаются материалами дела. Доводы жалобы относительно некачественного, по мнению администрации, выполнения работ с отступлением от требований нормативно- технических документов, были предметом исследования судов и получили исчерпывающую правовую оценку исходя из установленных обстоятельств и представленных доказательств, не согласиться с которыми оснований не имеется. Доводы о том, что принятые по настоящему делу судебные акты затрагивают права и законные интересы Министерства строительства, транспорта и дорожного хозяйства, не привлеченного к участию в деле, в отсутствие жалобы указанного лица, несостоятельны.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