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об установлении суммы процентов по вознаграждению в размере 444 307 рублей 50 копеек. Определением Арбитражного суда Пермского края от 10.12.2019, оставленным без изменения постановлениями Семнадцатого арбитражного апелляционного суда от 13.02.2020 и Арбитражного суда Уральского округа от 02.06.2020, заявление удовлетворено частично. В кассационной жалобе, поданной в Верховный Суд Российской Федерации, заявитель просит изменить указанные судебные акты и установить размер процентов по вознаграждению в заявленной им сумме.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удовлетворяя заявленные требования,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1, 3 и 17 статьи 20.6, пунктами 3 и 4 статьи 213.9, пунктом 5 статьи 213.27 Федерального закона от 26.10.2002 № 127-ФЗ «О несостоятельности (банкротстве)», исходили из того, что проценты по вознаграждению финансового управляющего подлежат установлению из суммы денежных средств, поступивших в конкурсную массу в результате применения последствий недействительной сделки по оставлению залогодержателем нереализованного имущества за собой. При этом суды учитывали, что иных поступлений в конкурсную массу не произведено, а реализация имущества должника финансовым управляющим не производилась.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"ДОМ.РФ" (подробнее) Инспекция Федеральной налоговой службы по Свердловскому району г. Перми (подробнее) ОАО "Сбербанк России" (подробнее) ООО "Атлант" (подробнее) ПАО Банк ВТБ (подробнее) ТСЖ "СИБИРСКАЯ, 52" (подробнее) Иные лица: Ассоциация "Краснодарская межрегиональная саморегулируемая организация арбитражных управляющих "Единство" (подробнее) ИФНС России по Дзержинскому району г.Перми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