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18.11.2019, оставленным без изменения постановлением Двенадцатого арбитражного апелляционного суда от 22.01.2020, в удовлетворении иска отказано. Постановлением Арбитражного суда Поволжского округа от 27.05.2020 указанные судебные акты оставлены без изменения. Комитет обратился в Верховный Суд Российской Федерации с кассационной жалобой, в которой просит названные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удовлетворении иска, признав не доказанным наличие совокупности обстоятельств, необходимых для взыскания убытков, а также нарушение ответчиками взятых на себя обязательств по государственному контракту. Доводы жалобы были предметом исследования судов и получили исчерпывающую правовую оценку исходя из установленных обстоятельств и представленных сторонами доказательств,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КОМИТЕТ ПРИРОДНЫХ РЕСУРСОВ, ЛЕСНОГО ХОЗЯЙСТВА И ЭКОЛОГИИ ВОЛГОГРАДСКОЙ ОБЛАСТИ (подробнее) Ответчики: ЗАО "Наутилус" (подробнее) ООО "Гидростройинжинириннг" (подробнее) Иные лица: ООО к/у "ГСИ" Светлова Т.В.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