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«ХимПромЭкспорт» и Компания «Ассеншн Инвест Лимитед» обратились в суд с заявлением о взыскании с Кулапчина Андрея Анатольевича и Татаренко Евгения Анатольевича (далее – ответчики) убытков в размере 30 840 557 рублей 96 копеек. Определением Арбитражного суда Московской области от 19.07.2019, оставленным без изменения постановлениями Десятого арбитражного апелляционного суда от 14.01.2020 и Арбитражного суда Московского округа от 22.05.2020,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15, 53, 53.1 Гражданского кодекса Российской Федерации, статьёй 10 Федерального закона от 26.10.2002 № 127-ФЗ «О несостоятельности (банкротстве)», пунктами 1, 6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исходили из недоказанности всей совокупности условий, необходимых для привлечения ответчиков к гражданско-правовой ответственности в виде возмещения убытков. Проанализировав действия ответчиков, суды установили, что они были направлены на осуществление обычной хозяйственной деятельности должника, в частности, на исполнение обязательств по выплате заработной платы своим сотрудникам, что применительно к установленным фактическим обстоятельствам не позволяло расценить их как неразумные и причиняющие вред должнику в отсутствие доказательств нецелевого использования денежных средств, признания подобных выплат недействительными сделками.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«ХимПромЭкспорт»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