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10.12.2019, оставленным без изменения постановлением Девятого арбитражного апелляционного суда от 18.02.2020 и постановлением Арбитражного суда Московского округа от 01.06.2020, в удовлетворении исковых требований отказано. Общество обратилось в Судебную коллегию Верховного Суда Российской Федерации с кассационной жалобой на указанные судебные акты. До рассмотрения кассационной жалобы по существу от общества 11.08.2020 поступило ходатайство о возвращении кассационной жалобы. Согласно пункту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В силу статьи 41 Арбитражного процессуального кодекса Российской Федерации участвующие в деле лица самостоятельно распоряжаются своими процессуальными правами. Ходатайство общества о возвращении кассационной жалобы не противоречит закону, не нарушает права и законные интересы других лиц, в связи с чем подлежит удовлетворению, а жалоба возвращению без рассмотрения по существу на основании пункта 4 части 1 статьи 291.5 Арбитражного процессуального кодекса Российской Федерации. Кассационная жалоба подана в электронном виде, в связи с чем бумажный носитель с текстом кассационной жалобы в адрес общества не возвращается. Поскольку платежное поручение от 15.07.2020 № 160 также представлено в электронном виде, вопрос о возврате государственной пошлины из федерального бюджета в отсутствие его оригинала не может быть разрешен. Руководствуясь статьями 184 , 185 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«ЛИГАЛ МИЛ» о возвращении кассационной жалобы удовлетворить. Кассационную жалобу общества с ограниченной ответственностью «ЛИГАЛ МИЛ» на решение Арбитражного суда города Москвы от 10.12.2019, постановление Девятого арбитражного апелляционного суда от 18.02.2020 и постановление Арбитражного суда Московского округа от 01.06.2020 по делу № А40-10169/2019 возвратить без рассмотрения по существу. Судья Верховного Суда Российской Федерации Н.С. Чучунова Суд: Верховный Суд РФ (подробнее) Истцы: ООО "ЛИГАЛ МИЛ" (подробнее) Ответчики: ООО "Стройинвестпроект"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