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Оценив доводы, изложенные в ходатайстве, суд приходит к выводу о наличии оснований для его удовлетворения.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Абдуллиной Марины Флюровны удовлетворить. Предоставить индивидуальному предпринимателю Абдуллиной Марине Флюровне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