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«Воентелеком-Сервис» (далее – общество, заказчик) обратилось в суд с иском о взыскании с исполнителя неустойки и процентов за пользование коммерческим кредитом. Решением Арбитражного суда города Москвы от 29.07.2019, оставленным без изменения постановлениями Девятого арбитражного апелляционного суда от 27.11.2019 и Арбитражного суда Московского округа от 20.02.2020, иск удовлетворён частично. С исполнителя в пользу заказчика взыскано 30 528 080 рублей 42 копейки неустойки, 10 420 062 рублей 18 копеек процентов за пользование коммерческим кредитом, а также 200 000 рублей судебных расходов по оплате государственной пошлины. В остальной части иска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отказе в удовлетворении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удовлетворяя иск, суд первой инстанции, руководствуясь статьями 309 , 310 , 329 , 330 , 330 , 333 , 809 , 810 , 823 Гражданского кодекса Российской Федерации, исходил из того, что требование общества подтверждено документально, вытекало из факта просрочки исполнителем поставки оборудования, в связи с чем признал его обоснованным, сочтя необходимым снизить размер договорной неустойки ввиду её несоразмерности последствиям нарушения обязательства. С указанными выводами впоследствии согласились суды апелляционной инстанции и округа, мотивированно отклонив возражения заявителя.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безопасности МВО»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"Воентелеком-Сервис" (подробнее) Ответчики: ООО "Центр безопасности МВО" (подробнее) Судьи дела: Корнелюк Е.С. (судья) (подробнее) Судебная практика по: По кредитам, по кредитным договорам, банки, банковский договор Судебная практика по применению норм ст. 819, 820, 821, 822, 823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