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участники долевого строительства – Самсонова Алена Александровна, действующая за себя и в интересах несовершеннолетней Денисовой Дарьи Александровны, Самсонов Евгений Александрович и Денисов Александр Геннадьевич обратились в суд с заявлением об исключении из реестра требований кредиторов должника денежного требования в сумме 2 829 409 рублей по 707 352 рубля 25 копеек в отношении каждого кредитора и включении в реестр требований о передаче жилых помещений требований о передаче Самсоновой А.А. 7/10 долей и Денисовой Д.А., Самсонову Е.А. и Денисову А.Г. по 1/10 доли двухкомнатной квартиры под условным номером 74 расчетной проектной площадью 62 кв. м., расположенной на четвертом этаже многоквартирного жилого дома переменной этажности с предприятиями обслуживания, стоимостью 3 100 000 рублей и оплаченной в сумме 2 829 408 рублей 50 копеек. Определением Арбитражного суда Чувашской Республики – Чувашии от 10.04.2019 заявление удовлетворено. Постановлением Первого арбитражного апелляционного суда от 06.11.2019 вышеуказанное определение отменено, в удовлетворении заявления отказано. Постановлением Арбитражного суда Волго-Вятского округа от 13.03.2020 отменено постановление апелляционного суда от 06.11.2019, определение суда первой инстанции от 10.04.2019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2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201.4, 201.6, 201.7, 201.10, 201.13 Федерального закона от 26.10.2002 № 127-ФЗ «О несостоятельности (банкротстве)», исходил из доказанности факта неисполнения должником обязанности по передаче жилого помещения участникам долевого строительства, оплаты стоимости объекта и регистрации в установленном порядке договора долевого участия в строительстве, в связи с чем признал требования обоснованными и подлежащими удовлетворению.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