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требования в размере 1 425 407 112 рублей 03 копеек. Определением Арбитражного суда города Санкт – Петербурга и Ленинградской области от 23.04.2019, оставленным без изменения постановлениями Тринадцатого арбитражного апелляционного суда от 13.06.2019 и Арбитражного суда Северо-Западного округа от 10.09.2019, производство по требованию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Прекращая производство по заявлению, суд первой инстанции, руководствуясь пунктом 2 части 1 статьи 150 Арбитражного процессуального кодекса Российской Федерации, статьями 16, 100 Федерального закона от 26.10.2002 № 127-ФЗ «О несостоятельности (банкротстве)», исходил из того, что ранее принятым по настоящему делу судебным актом обществу отказано во включении в реестр аналогичного и тождественного вновь заявленному требованию по предмету, основаниям и сумме. С указанными выводами впоследствии согласились суды апелляционной инстанции и округа, указав, что действия общества по подаче заявления о признании должника банкротом ранее квалифицированы как злоупотребление правом с целью получения контроля в настоящем деле о банкротстве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