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«Югстроймеханизация» (далее – общество) обратилось в суд с заявлением о признании должника несостоятельным (банкротом). Определением Арбитражного суда Краснодарского края от 15.04.2020, оставленным без изменения постановлением Пятнадцатого арбитражного апелляционного суда от 03.06.2020, в удовлетворении ходатайства должника о возвращении заявления отказано; заявление общества принято к производству. В кассационной жалобе, поданной в Верховный Суд Российской Федерации, заявитель просит отменить указанные судебные акты, возвратить заявление кредитора.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Отказывая должнику в удовлетворении ходатайства о возвращении заявления и принимая заявление общества к производству, суд первой инстанции, с выводами которого согласился суд апелляционной инстанции, руководствуясь положениями статей 7, 39, 40, 42, 45 Федерального закона от 26.10.2002 № 127-ФЗ «О несостоятельности (банкротстве)», разъяснениями, изложенными в пункте 13 Обзора судебной практики Верховного Суда Российской Федерации № 2, утверждённом Президиумом Верховного Суда Российской Федерации 17.07.2019, исходил из соблюдения обществом требований законодательства о несостоятельности при подаче заявления, принятым с соблюдением правил о территориальной подсудности.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 Два-Инвест»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