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21.09.2017, оставленным без изменения постановлением Третьего арбитражного апелляционного суда от 25.12.2017 и постановлением Арбитражного суда Восточно-Сибирского округа от 27.04.2018, иск удовлетворен. В кассационной жалобе, поданной в Верховный Суд Российской Федерации, союз, обратившийся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просит отменить указанные судебные акты, ссылаясь на нарушение судами норм права.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договор подряда от 25.06.2014, акт приемки выполненных работ, справки о стоимости выполненных работ, подписанные без разногласий, заключение судебной экспертизы, суды первой и апелляционной инстанций установили, что стоимость выполненных истцом работ составила 2 484 592 руб. При таких обстоятельствах, исходя из того, что результат выполненных работ имеет для ответчика потребительскую ценность, доказательства оплаты работ последним не представлены, руководствуясь статьями 702, 711, 720, 721, 740, 746, 753 Гражданского кодекса Российской Федерации, суды пришли к выводу о наличии оснований для удовлетворения иска, с чем впоследствии согласился суд округа. Доводы, приведенные союзом в кассационной жалобе, не подтверждают существенных нарушений судами норм материального и процессуального права, поэтому оснований для передачи жалобы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Союза потребительских обществ Республики Хакасия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