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податель жалобы просит об отсрочке уплаты государственной пошлины в связи с отсутствием денежных средств на расчетном счете, сведения о принадлежности и состоянии которого подтверждает прилагаемыми документами налогового органа и обслуживающего банка. Согласно статье 102 Арбитражного процессуального кодекса Российской Федерации и пункту 2 статьи 333.22 Налогового кодекса Российской Федерации предоставление отсрочки уплаты государственной пошлины производится арбитражным судом исходя из имущественного положения плательщика. Учитывая подтвержденность невозможности уплаты государственной пошлины за подачу кассационной жалобы, суд счел ходатайство подлежащим удовлетворению. Руководствуясь статьей 184 Арбитражного процессуального кодекса Российской Федерации, статьей 333.22 Налогового кодекса Российской Федерации, судья 2</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обществу с ограниченной ответственностью «Базальт» отсрочку уплаты государственной пошлины до окончания производства по поданной им кассационной жалобе.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