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27.08.2019, оставленным без изменения постановлением Девятого арбитражного апелляционного суда от 17.12.2019 и постановлением Арбитражного суда Московского округа от 27.05.2020, иск удовлетворен частично. В кассационной жалобе общество «Сунский карьер» просит отменить судебные акты, ссылаясь на противоречие их обстоятельствам дела и отсутствие вины в нарушении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Признавая заявленные требования обоснованными и подлежащими частичному удовлетворению на основании статей 309 , 310 , 330 , 779 Гражданского кодекса Российской Федерации, суды руководствовались установленным фактом нарушения ответчиком срока использования вагонов на станциях погрузки/выгрузки, согласованного договором от 30.11.2018 № 427-ПС. Доводы рассматриваемой кассационной жалобы были предметом обсуждения судов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«Сунский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"РТХ-Логистик" (подробнее) Ответчики: ООО "Сунский Карьер"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